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0BD0CDD"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271"/>
        <w:gridCol w:w="5353"/>
        <w:gridCol w:w="5354"/>
        <w:gridCol w:w="201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AA-11210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受託買賣及成交作業之稽核</w:t>
            </w:r>
          </w:p>
          <w:p w14:paraId="201078E1"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32FA211D"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配合內部控制制度CA-11210修正。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營業櫃檯主管或其指定人員應按月擇日(至少選一營業日)就當面委託交易者確認有無委託事實，並留存相關紀錄，抽樣比例至少為該日當面委託筆數之20%。(排除客戶屬『證券商管理規則』第19條之7所稱之專業機構投資人。)</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營業櫃檯主管或其指定人員應按月擇日(至少選一營業日)就當面委託交易者確認有無委託事實，並留存相關紀錄，抽樣比例至少為該日當面委託筆數之20%。(排除客戶屬『證券商管理規則』第19條之7所稱之專業機構投資人。)</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C4863F" w14:textId="77777777">
        <w:tc>
          <w:tcPr>
            <w:tcW w:w="1384" w:type="dxa"/>
            <w:vMerge/>
            <w:tcBorders>
              <w:left w:val="single" w:sz="12" w:space="0" w:color="auto"/>
            </w:tcBorders>
          </w:tcPr>
          <w:p w14:paraId="40D5130D" w14:textId="77777777" w:rsidR="003B3105" w:rsidRDefault="003B3105" w:rsidP="001E533B">
            <w:pPr>
              <w:rPr>
                <w:rFonts w:ascii="新細明體" w:eastAsia="新細明體" w:hAnsi="新細明體"/>
              </w:rPr>
            </w:pPr>
          </w:p>
        </w:tc>
        <w:tc>
          <w:tcPr>
            <w:tcW w:w="1276" w:type="dxa"/>
            <w:vMerge/>
          </w:tcPr>
          <w:p w14:paraId="4948B86F" w14:textId="77777777" w:rsidR="003B3105" w:rsidRDefault="003B3105" w:rsidP="001E533B">
            <w:pPr>
              <w:rPr>
                <w:rFonts w:ascii="新細明體" w:eastAsia="新細明體" w:hAnsi="新細明體"/>
              </w:rPr>
            </w:pPr>
          </w:p>
        </w:tc>
        <w:tc>
          <w:tcPr>
            <w:tcW w:w="5386" w:type="dxa"/>
            <w:tcBorders>
              <w:top w:val="nil"/>
              <w:bottom w:val="nil"/>
            </w:tcBorders>
          </w:tcPr>
          <w:p w14:paraId="05D8449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(二)受託買賣業務人員接受客戶電話委託後是否依客戶指示執行買賣有價證券。(排除客戶屬『證券商管理規則』第19條之7所稱之專業機構投資人。)</w:t>
            </w:r>
          </w:p>
        </w:tc>
        <w:tc>
          <w:tcPr>
            <w:tcW w:w="5387" w:type="dxa"/>
            <w:tcBorders>
              <w:top w:val="nil"/>
              <w:bottom w:val="nil"/>
            </w:tcBorders>
          </w:tcPr>
          <w:p w14:paraId="54CBBBD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(二)受託買賣業務人員接受客戶電話委託後是否依客戶指示執行買賣有價證券。(排除客戶屬『證券商管理規則』第19條之7所稱之專業機構投資人。)</w:t>
            </w:r>
          </w:p>
        </w:tc>
        <w:tc>
          <w:tcPr>
            <w:tcW w:w="2023" w:type="dxa"/>
            <w:vMerge/>
            <w:tcBorders>
              <w:right w:val="single" w:sz="12" w:space="0" w:color="auto"/>
            </w:tcBorders>
          </w:tcPr>
          <w:p w14:paraId="26F19A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703A4C" w14:textId="77777777">
        <w:tc>
          <w:tcPr>
            <w:tcW w:w="1384" w:type="dxa"/>
            <w:vMerge/>
            <w:tcBorders>
              <w:left w:val="single" w:sz="12" w:space="0" w:color="auto"/>
            </w:tcBorders>
          </w:tcPr>
          <w:p w14:paraId="175EEE3D" w14:textId="77777777" w:rsidR="003B3105" w:rsidRDefault="003B3105" w:rsidP="001E533B">
            <w:pPr>
              <w:rPr>
                <w:rFonts w:ascii="新細明體" w:eastAsia="新細明體" w:hAnsi="新細明體"/>
              </w:rPr>
            </w:pPr>
          </w:p>
        </w:tc>
        <w:tc>
          <w:tcPr>
            <w:tcW w:w="1276" w:type="dxa"/>
            <w:vMerge/>
          </w:tcPr>
          <w:p w14:paraId="2FE65B59" w14:textId="77777777" w:rsidR="003B3105" w:rsidRDefault="003B3105" w:rsidP="001E533B">
            <w:pPr>
              <w:rPr>
                <w:rFonts w:ascii="新細明體" w:eastAsia="新細明體" w:hAnsi="新細明體"/>
              </w:rPr>
            </w:pPr>
          </w:p>
        </w:tc>
        <w:tc>
          <w:tcPr>
            <w:tcW w:w="5386" w:type="dxa"/>
            <w:tcBorders>
              <w:top w:val="nil"/>
              <w:bottom w:val="nil"/>
            </w:tcBorders>
          </w:tcPr>
          <w:p w14:paraId="334B403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(三)公司是否產製每日總公司</w:t>
            </w:r>
            <w:r>
              <w:rPr>
                <w:rFonts w:ascii="新細明體" w:eastAsia="新細明體" w:hAnsi="新細明體" w:cs="新細明體" w:hint="eastAsia"/>
                <w:b/>
                <w:color w:val="FF0000"/>
                <w:u w:val="single"/>
              </w:rPr>
              <w:t>及分支機構</w:t>
            </w:r>
            <w:r>
              <w:rPr>
                <w:rFonts w:ascii="新細明體" w:eastAsia="新細明體" w:hAnsi="新細明體" w:cs="新細明體" w:hint="eastAsia"/>
              </w:rPr>
              <w:t>所有網際網路委託多筆買賣合計新台幣二百五十萬元以上或單筆買賣新台幣五十萬元以上明細(惟內部人員及客戶間不限買賣金額)間之相同IP資料，除已留存紀錄確認有精進方式可識別該相同IP係來自不同裝置下單者外，是否指定專人於次月底依下列規定完成查證作業並留存紀錄：</w:t>
            </w:r>
          </w:p>
        </w:tc>
        <w:tc>
          <w:tcPr>
            <w:tcW w:w="5387" w:type="dxa"/>
            <w:tcBorders>
              <w:top w:val="nil"/>
              <w:bottom w:val="nil"/>
            </w:tcBorders>
          </w:tcPr>
          <w:p w14:paraId="68EB8AD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(三)公司是否產製每日總</w:t>
            </w:r>
            <w:r>
              <w:rPr>
                <w:rFonts w:ascii="新細明體" w:eastAsia="新細明體" w:hAnsi="新細明體" w:cs="新細明體" w:hint="eastAsia"/>
                <w:b/>
                <w:color w:val="FF0000"/>
              </w:rPr>
              <w:t>分</w:t>
            </w:r>
            <w:r>
              <w:rPr>
                <w:rFonts w:ascii="新細明體" w:eastAsia="新細明體" w:hAnsi="新細明體" w:cs="新細明體" w:hint="eastAsia"/>
              </w:rPr>
              <w:t>公司所有網際網路委託多筆買賣合計新台幣二百五十萬元以上或單筆買賣新台幣五十萬元以上明細(惟內部人員及客戶間不限買賣金額)間之相同IP資料，除已留存紀錄確認有精進方式可識別該相同IP係來自不同裝置下單者外，是否指定專人於次月底依下列規定完成查證作業並留存紀錄：</w:t>
            </w:r>
          </w:p>
        </w:tc>
        <w:tc>
          <w:tcPr>
            <w:tcW w:w="2023" w:type="dxa"/>
            <w:vMerge/>
            <w:tcBorders>
              <w:right w:val="single" w:sz="12" w:space="0" w:color="auto"/>
            </w:tcBorders>
          </w:tcPr>
          <w:p w14:paraId="2F3A6C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EB3321" w14:textId="77777777">
        <w:tc>
          <w:tcPr>
            <w:tcW w:w="1384" w:type="dxa"/>
            <w:vMerge/>
            <w:tcBorders>
              <w:left w:val="single" w:sz="12" w:space="0" w:color="auto"/>
            </w:tcBorders>
          </w:tcPr>
          <w:p w14:paraId="3F795CC9" w14:textId="77777777" w:rsidR="003B3105" w:rsidRDefault="003B3105" w:rsidP="001E533B">
            <w:pPr>
              <w:rPr>
                <w:rFonts w:ascii="新細明體" w:eastAsia="新細明體" w:hAnsi="新細明體"/>
              </w:rPr>
            </w:pPr>
          </w:p>
        </w:tc>
        <w:tc>
          <w:tcPr>
            <w:tcW w:w="1276" w:type="dxa"/>
            <w:vMerge/>
          </w:tcPr>
          <w:p w14:paraId="2DE96981" w14:textId="77777777" w:rsidR="003B3105" w:rsidRDefault="003B3105" w:rsidP="001E533B">
            <w:pPr>
              <w:rPr>
                <w:rFonts w:ascii="新細明體" w:eastAsia="新細明體" w:hAnsi="新細明體"/>
              </w:rPr>
            </w:pPr>
          </w:p>
        </w:tc>
        <w:tc>
          <w:tcPr>
            <w:tcW w:w="5386" w:type="dxa"/>
            <w:tcBorders>
              <w:top w:val="nil"/>
              <w:bottom w:val="nil"/>
            </w:tcBorders>
          </w:tcPr>
          <w:p w14:paraId="6E81559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1.應查明是否為委託人親自委託下單。</w:t>
            </w:r>
          </w:p>
        </w:tc>
        <w:tc>
          <w:tcPr>
            <w:tcW w:w="5387" w:type="dxa"/>
            <w:tcBorders>
              <w:top w:val="nil"/>
              <w:bottom w:val="nil"/>
            </w:tcBorders>
          </w:tcPr>
          <w:p w14:paraId="72BCCED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1.應查明是否為委託人親自委託下單。</w:t>
            </w:r>
          </w:p>
        </w:tc>
        <w:tc>
          <w:tcPr>
            <w:tcW w:w="2023" w:type="dxa"/>
            <w:vMerge/>
            <w:tcBorders>
              <w:right w:val="single" w:sz="12" w:space="0" w:color="auto"/>
            </w:tcBorders>
          </w:tcPr>
          <w:p w14:paraId="505780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4E7888" w14:textId="77777777">
        <w:tc>
          <w:tcPr>
            <w:tcW w:w="1384" w:type="dxa"/>
            <w:vMerge/>
            <w:tcBorders>
              <w:left w:val="single" w:sz="12" w:space="0" w:color="auto"/>
            </w:tcBorders>
          </w:tcPr>
          <w:p w14:paraId="251562A4" w14:textId="77777777" w:rsidR="003B3105" w:rsidRDefault="003B3105" w:rsidP="001E533B">
            <w:pPr>
              <w:rPr>
                <w:rFonts w:ascii="新細明體" w:eastAsia="新細明體" w:hAnsi="新細明體"/>
              </w:rPr>
            </w:pPr>
          </w:p>
        </w:tc>
        <w:tc>
          <w:tcPr>
            <w:tcW w:w="1276" w:type="dxa"/>
            <w:vMerge/>
          </w:tcPr>
          <w:p w14:paraId="4075E566" w14:textId="77777777" w:rsidR="003B3105" w:rsidRDefault="003B3105" w:rsidP="001E533B">
            <w:pPr>
              <w:rPr>
                <w:rFonts w:ascii="新細明體" w:eastAsia="新細明體" w:hAnsi="新細明體"/>
              </w:rPr>
            </w:pPr>
          </w:p>
        </w:tc>
        <w:tc>
          <w:tcPr>
            <w:tcW w:w="5386" w:type="dxa"/>
            <w:tcBorders>
              <w:top w:val="nil"/>
              <w:bottom w:val="nil"/>
            </w:tcBorders>
          </w:tcPr>
          <w:p w14:paraId="05EE604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2.如非委託人本人下單，委託人是否出具委任書指定代理人。</w:t>
            </w:r>
          </w:p>
        </w:tc>
        <w:tc>
          <w:tcPr>
            <w:tcW w:w="5387" w:type="dxa"/>
            <w:tcBorders>
              <w:top w:val="nil"/>
              <w:bottom w:val="nil"/>
            </w:tcBorders>
          </w:tcPr>
          <w:p w14:paraId="24EF948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2.如非委託人本人下單，委託人是否出具委任書指定代理人。</w:t>
            </w:r>
          </w:p>
        </w:tc>
        <w:tc>
          <w:tcPr>
            <w:tcW w:w="2023" w:type="dxa"/>
            <w:vMerge/>
            <w:tcBorders>
              <w:right w:val="single" w:sz="12" w:space="0" w:color="auto"/>
            </w:tcBorders>
          </w:tcPr>
          <w:p w14:paraId="1621BCA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8F0DF0" w14:textId="77777777">
        <w:tc>
          <w:tcPr>
            <w:tcW w:w="1384" w:type="dxa"/>
            <w:vMerge/>
            <w:tcBorders>
              <w:left w:val="single" w:sz="12" w:space="0" w:color="auto"/>
            </w:tcBorders>
          </w:tcPr>
          <w:p w14:paraId="0872BF8B" w14:textId="77777777" w:rsidR="003B3105" w:rsidRDefault="003B3105" w:rsidP="001E533B">
            <w:pPr>
              <w:rPr>
                <w:rFonts w:ascii="新細明體" w:eastAsia="新細明體" w:hAnsi="新細明體"/>
              </w:rPr>
            </w:pPr>
          </w:p>
        </w:tc>
        <w:tc>
          <w:tcPr>
            <w:tcW w:w="1276" w:type="dxa"/>
            <w:vMerge/>
          </w:tcPr>
          <w:p w14:paraId="352AEB92" w14:textId="77777777" w:rsidR="003B3105" w:rsidRDefault="003B3105" w:rsidP="001E533B">
            <w:pPr>
              <w:rPr>
                <w:rFonts w:ascii="新細明體" w:eastAsia="新細明體" w:hAnsi="新細明體"/>
              </w:rPr>
            </w:pPr>
          </w:p>
        </w:tc>
        <w:tc>
          <w:tcPr>
            <w:tcW w:w="5386" w:type="dxa"/>
            <w:tcBorders>
              <w:top w:val="nil"/>
              <w:bottom w:val="nil"/>
            </w:tcBorders>
          </w:tcPr>
          <w:p w14:paraId="4A9C231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3.應查證同一IP下單之原因及合理性：</w:t>
            </w:r>
          </w:p>
        </w:tc>
        <w:tc>
          <w:tcPr>
            <w:tcW w:w="5387" w:type="dxa"/>
            <w:tcBorders>
              <w:top w:val="nil"/>
              <w:bottom w:val="nil"/>
            </w:tcBorders>
          </w:tcPr>
          <w:p w14:paraId="62FB2E8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3.應查證同一IP下單之原因及合理性：</w:t>
            </w:r>
          </w:p>
        </w:tc>
        <w:tc>
          <w:tcPr>
            <w:tcW w:w="2023" w:type="dxa"/>
            <w:vMerge/>
            <w:tcBorders>
              <w:right w:val="single" w:sz="12" w:space="0" w:color="auto"/>
            </w:tcBorders>
          </w:tcPr>
          <w:p w14:paraId="5933DC1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4BACE04" w14:textId="77777777">
        <w:tc>
          <w:tcPr>
            <w:tcW w:w="1384" w:type="dxa"/>
            <w:vMerge/>
            <w:tcBorders>
              <w:left w:val="single" w:sz="12" w:space="0" w:color="auto"/>
            </w:tcBorders>
          </w:tcPr>
          <w:p w14:paraId="4C1670C6" w14:textId="77777777" w:rsidR="003B3105" w:rsidRDefault="003B3105" w:rsidP="001E533B">
            <w:pPr>
              <w:rPr>
                <w:rFonts w:ascii="新細明體" w:eastAsia="新細明體" w:hAnsi="新細明體"/>
              </w:rPr>
            </w:pPr>
          </w:p>
        </w:tc>
        <w:tc>
          <w:tcPr>
            <w:tcW w:w="1276" w:type="dxa"/>
            <w:vMerge/>
          </w:tcPr>
          <w:p w14:paraId="13F14BCD" w14:textId="77777777" w:rsidR="003B3105" w:rsidRDefault="003B3105" w:rsidP="001E533B">
            <w:pPr>
              <w:rPr>
                <w:rFonts w:ascii="新細明體" w:eastAsia="新細明體" w:hAnsi="新細明體"/>
              </w:rPr>
            </w:pPr>
          </w:p>
        </w:tc>
        <w:tc>
          <w:tcPr>
            <w:tcW w:w="5386" w:type="dxa"/>
            <w:tcBorders>
              <w:top w:val="nil"/>
              <w:bottom w:val="nil"/>
            </w:tcBorders>
          </w:tcPr>
          <w:p w14:paraId="2AF5B23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(1)應取得委託人確認交易真實性之聲明書、或採取適當方式(如電話錄音、Email回覆等)確認交易真實性並提醒客戶注</w:t>
            </w:r>
            <w:r>
              <w:rPr>
                <w:rFonts w:ascii="新細明體" w:eastAsia="新細明體" w:hAnsi="新細明體" w:cs="新細明體" w:hint="eastAsia"/>
              </w:rPr>
              <w:lastRenderedPageBreak/>
              <w:t>意交易安全。公司可自訂前揭適當確認方式之有效期限，惟不得超過一年。</w:t>
            </w:r>
          </w:p>
        </w:tc>
        <w:tc>
          <w:tcPr>
            <w:tcW w:w="5387" w:type="dxa"/>
            <w:tcBorders>
              <w:top w:val="nil"/>
              <w:bottom w:val="nil"/>
            </w:tcBorders>
          </w:tcPr>
          <w:p w14:paraId="2EC2D16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(1)應取得委託人確認交易真實性之聲明書、或採取適當方式(如電話錄音、Email回覆等)確認交易真實性並提醒客戶注</w:t>
            </w:r>
            <w:r>
              <w:rPr>
                <w:rFonts w:ascii="新細明體" w:eastAsia="新細明體" w:hAnsi="新細明體" w:cs="新細明體" w:hint="eastAsia"/>
              </w:rPr>
              <w:lastRenderedPageBreak/>
              <w:t>意交易安全。公司可自訂前揭適當確認方式之有效期限，惟不得超過一年。</w:t>
            </w:r>
          </w:p>
        </w:tc>
        <w:tc>
          <w:tcPr>
            <w:tcW w:w="2023" w:type="dxa"/>
            <w:vMerge/>
            <w:tcBorders>
              <w:right w:val="single" w:sz="12" w:space="0" w:color="auto"/>
            </w:tcBorders>
          </w:tcPr>
          <w:p w14:paraId="02E84C1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6ED5BA" w14:textId="77777777">
        <w:tc>
          <w:tcPr>
            <w:tcW w:w="1384" w:type="dxa"/>
            <w:vMerge/>
            <w:tcBorders>
              <w:left w:val="single" w:sz="12" w:space="0" w:color="auto"/>
            </w:tcBorders>
          </w:tcPr>
          <w:p w14:paraId="2D7E3EE2" w14:textId="77777777" w:rsidR="003B3105" w:rsidRDefault="003B3105" w:rsidP="001E533B">
            <w:pPr>
              <w:rPr>
                <w:rFonts w:ascii="新細明體" w:eastAsia="新細明體" w:hAnsi="新細明體"/>
              </w:rPr>
            </w:pPr>
          </w:p>
        </w:tc>
        <w:tc>
          <w:tcPr>
            <w:tcW w:w="1276" w:type="dxa"/>
            <w:vMerge/>
          </w:tcPr>
          <w:p w14:paraId="5F3F1CE5" w14:textId="77777777" w:rsidR="003B3105" w:rsidRDefault="003B3105" w:rsidP="001E533B">
            <w:pPr>
              <w:rPr>
                <w:rFonts w:ascii="新細明體" w:eastAsia="新細明體" w:hAnsi="新細明體"/>
              </w:rPr>
            </w:pPr>
          </w:p>
        </w:tc>
        <w:tc>
          <w:tcPr>
            <w:tcW w:w="5386" w:type="dxa"/>
            <w:tcBorders>
              <w:top w:val="nil"/>
              <w:bottom w:val="nil"/>
            </w:tcBorders>
          </w:tcPr>
          <w:p w14:paraId="1344714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(2)除為委託人之法定代理人、監護人或輔助人者外，證券商之董事、監察人及受僱人員不得代理他人買賣有價證券。</w:t>
            </w:r>
          </w:p>
        </w:tc>
        <w:tc>
          <w:tcPr>
            <w:tcW w:w="5387" w:type="dxa"/>
            <w:tcBorders>
              <w:top w:val="nil"/>
              <w:bottom w:val="nil"/>
            </w:tcBorders>
          </w:tcPr>
          <w:p w14:paraId="43B9B25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(2)除為委託人之法定代理人、監護人或輔助人者外，證券商之董事、監察人及受僱人員不得代理他人買賣有價證券。</w:t>
            </w:r>
          </w:p>
        </w:tc>
        <w:tc>
          <w:tcPr>
            <w:tcW w:w="2023" w:type="dxa"/>
            <w:vMerge/>
            <w:tcBorders>
              <w:right w:val="single" w:sz="12" w:space="0" w:color="auto"/>
            </w:tcBorders>
          </w:tcPr>
          <w:p w14:paraId="45FA8FE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08E1CA" w14:textId="77777777">
        <w:tc>
          <w:tcPr>
            <w:tcW w:w="1384" w:type="dxa"/>
            <w:vMerge/>
            <w:tcBorders>
              <w:left w:val="single" w:sz="12" w:space="0" w:color="auto"/>
            </w:tcBorders>
          </w:tcPr>
          <w:p w14:paraId="0F0A0762" w14:textId="77777777" w:rsidR="003B3105" w:rsidRDefault="003B3105" w:rsidP="001E533B">
            <w:pPr>
              <w:rPr>
                <w:rFonts w:ascii="新細明體" w:eastAsia="新細明體" w:hAnsi="新細明體"/>
              </w:rPr>
            </w:pPr>
          </w:p>
        </w:tc>
        <w:tc>
          <w:tcPr>
            <w:tcW w:w="1276" w:type="dxa"/>
            <w:vMerge/>
          </w:tcPr>
          <w:p w14:paraId="0EC9E0AB" w14:textId="77777777" w:rsidR="003B3105" w:rsidRDefault="003B3105" w:rsidP="001E533B">
            <w:pPr>
              <w:rPr>
                <w:rFonts w:ascii="新細明體" w:eastAsia="新細明體" w:hAnsi="新細明體"/>
              </w:rPr>
            </w:pPr>
          </w:p>
        </w:tc>
        <w:tc>
          <w:tcPr>
            <w:tcW w:w="5386" w:type="dxa"/>
            <w:tcBorders>
              <w:top w:val="nil"/>
              <w:bottom w:val="nil"/>
            </w:tcBorders>
          </w:tcPr>
          <w:p w14:paraId="71BCBE1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(3)如明知或可判斷個別客戶間屬關聯戶者，應納入公司關聯戶歸戶控管機制。</w:t>
            </w:r>
          </w:p>
        </w:tc>
        <w:tc>
          <w:tcPr>
            <w:tcW w:w="5387" w:type="dxa"/>
            <w:tcBorders>
              <w:top w:val="nil"/>
              <w:bottom w:val="nil"/>
            </w:tcBorders>
          </w:tcPr>
          <w:p w14:paraId="70D5342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(3)如明知或可判斷個別客戶間屬關聯戶者，應納入公司關聯戶歸戶控管機制。</w:t>
            </w:r>
          </w:p>
        </w:tc>
        <w:tc>
          <w:tcPr>
            <w:tcW w:w="2023" w:type="dxa"/>
            <w:vMerge/>
            <w:tcBorders>
              <w:right w:val="single" w:sz="12" w:space="0" w:color="auto"/>
            </w:tcBorders>
          </w:tcPr>
          <w:p w14:paraId="3E3E6D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2DC9E1" w14:textId="77777777">
        <w:tc>
          <w:tcPr>
            <w:tcW w:w="1384" w:type="dxa"/>
            <w:vMerge/>
            <w:tcBorders>
              <w:left w:val="single" w:sz="12" w:space="0" w:color="auto"/>
            </w:tcBorders>
          </w:tcPr>
          <w:p w14:paraId="7BCAF8EB" w14:textId="77777777" w:rsidR="003B3105" w:rsidRDefault="003B3105" w:rsidP="001E533B">
            <w:pPr>
              <w:rPr>
                <w:rFonts w:ascii="新細明體" w:eastAsia="新細明體" w:hAnsi="新細明體"/>
              </w:rPr>
            </w:pPr>
          </w:p>
        </w:tc>
        <w:tc>
          <w:tcPr>
            <w:tcW w:w="1276" w:type="dxa"/>
            <w:vMerge/>
          </w:tcPr>
          <w:p w14:paraId="34BC36FF" w14:textId="77777777" w:rsidR="003B3105" w:rsidRDefault="003B3105" w:rsidP="001E533B">
            <w:pPr>
              <w:rPr>
                <w:rFonts w:ascii="新細明體" w:eastAsia="新細明體" w:hAnsi="新細明體"/>
              </w:rPr>
            </w:pPr>
          </w:p>
        </w:tc>
        <w:tc>
          <w:tcPr>
            <w:tcW w:w="5386" w:type="dxa"/>
            <w:tcBorders>
              <w:top w:val="nil"/>
              <w:bottom w:val="nil"/>
            </w:tcBorders>
          </w:tcPr>
          <w:p w14:paraId="3396B69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(4)若客戶未能於期限內配合證券商完成查證作業，證券商得採取適當控管措施(如:不得新增電子式委託下單或調降單日買賣額度等)。</w:t>
            </w:r>
          </w:p>
        </w:tc>
        <w:tc>
          <w:tcPr>
            <w:tcW w:w="5387" w:type="dxa"/>
            <w:tcBorders>
              <w:top w:val="nil"/>
              <w:bottom w:val="nil"/>
            </w:tcBorders>
          </w:tcPr>
          <w:p w14:paraId="37E6C20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(4)若客戶未能於期限內配合證券商完成查證作業，證券商得採取適當控管措施(如:不得新增電子式委託下單或調降單日買賣額度等)。</w:t>
            </w:r>
          </w:p>
        </w:tc>
        <w:tc>
          <w:tcPr>
            <w:tcW w:w="2023" w:type="dxa"/>
            <w:vMerge/>
            <w:tcBorders>
              <w:right w:val="single" w:sz="12" w:space="0" w:color="auto"/>
            </w:tcBorders>
          </w:tcPr>
          <w:p w14:paraId="2AAE48D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65F0E9" w14:textId="77777777">
        <w:tc>
          <w:tcPr>
            <w:tcW w:w="1384" w:type="dxa"/>
            <w:vMerge/>
            <w:tcBorders>
              <w:left w:val="single" w:sz="12" w:space="0" w:color="auto"/>
            </w:tcBorders>
          </w:tcPr>
          <w:p w14:paraId="26A6B227" w14:textId="77777777" w:rsidR="003B3105" w:rsidRDefault="003B3105" w:rsidP="001E533B">
            <w:pPr>
              <w:rPr>
                <w:rFonts w:ascii="新細明體" w:eastAsia="新細明體" w:hAnsi="新細明體"/>
              </w:rPr>
            </w:pPr>
          </w:p>
        </w:tc>
        <w:tc>
          <w:tcPr>
            <w:tcW w:w="1276" w:type="dxa"/>
            <w:vMerge/>
          </w:tcPr>
          <w:p w14:paraId="640D4DEB" w14:textId="77777777" w:rsidR="003B3105" w:rsidRDefault="003B3105" w:rsidP="001E533B">
            <w:pPr>
              <w:rPr>
                <w:rFonts w:ascii="新細明體" w:eastAsia="新細明體" w:hAnsi="新細明體"/>
              </w:rPr>
            </w:pPr>
          </w:p>
        </w:tc>
        <w:tc>
          <w:tcPr>
            <w:tcW w:w="5386" w:type="dxa"/>
            <w:tcBorders>
              <w:top w:val="nil"/>
              <w:bottom w:val="nil"/>
            </w:tcBorders>
          </w:tcPr>
          <w:p w14:paraId="6D7322B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4.如發現內部人員確有違背法令，即應主動報請證交所或主管機關核辦，若有違反公司內部控制制度時，即應依規定予以處分，並留存完整之處理報告紀錄。</w:t>
            </w:r>
          </w:p>
        </w:tc>
        <w:tc>
          <w:tcPr>
            <w:tcW w:w="5387" w:type="dxa"/>
            <w:tcBorders>
              <w:top w:val="nil"/>
              <w:bottom w:val="nil"/>
            </w:tcBorders>
          </w:tcPr>
          <w:p w14:paraId="750780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4.如發現內部人員確有違背法令，即應主動報請證交所或主管機關核辦，若有違反公司內部控制制度時，即應依規定予以處分，並留存完整之處理報告紀錄。</w:t>
            </w:r>
          </w:p>
        </w:tc>
        <w:tc>
          <w:tcPr>
            <w:tcW w:w="2023" w:type="dxa"/>
            <w:vMerge/>
            <w:tcBorders>
              <w:right w:val="single" w:sz="12" w:space="0" w:color="auto"/>
            </w:tcBorders>
          </w:tcPr>
          <w:p w14:paraId="3BECB1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972BD5" w14:textId="77777777">
        <w:tc>
          <w:tcPr>
            <w:tcW w:w="1384" w:type="dxa"/>
            <w:vMerge/>
            <w:tcBorders>
              <w:left w:val="single" w:sz="12" w:space="0" w:color="auto"/>
            </w:tcBorders>
          </w:tcPr>
          <w:p w14:paraId="1BD7C236" w14:textId="77777777" w:rsidR="003B3105" w:rsidRDefault="003B3105" w:rsidP="001E533B">
            <w:pPr>
              <w:rPr>
                <w:rFonts w:ascii="新細明體" w:eastAsia="新細明體" w:hAnsi="新細明體"/>
              </w:rPr>
            </w:pPr>
          </w:p>
        </w:tc>
        <w:tc>
          <w:tcPr>
            <w:tcW w:w="1276" w:type="dxa"/>
            <w:vMerge/>
          </w:tcPr>
          <w:p w14:paraId="3F424180" w14:textId="77777777" w:rsidR="003B3105" w:rsidRDefault="003B3105" w:rsidP="001E533B">
            <w:pPr>
              <w:rPr>
                <w:rFonts w:ascii="新細明體" w:eastAsia="新細明體" w:hAnsi="新細明體"/>
              </w:rPr>
            </w:pPr>
          </w:p>
        </w:tc>
        <w:tc>
          <w:tcPr>
            <w:tcW w:w="5386" w:type="dxa"/>
            <w:tcBorders>
              <w:top w:val="nil"/>
              <w:bottom w:val="nil"/>
            </w:tcBorders>
          </w:tcPr>
          <w:p w14:paraId="6BD7989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(四)為強化投資人違約風險控管，依證交所110年9月10日臺證輔字第1100018043號函規定，自110年10月12日起，公司是否對違約投資人實施下列管理措施：</w:t>
            </w:r>
          </w:p>
        </w:tc>
        <w:tc>
          <w:tcPr>
            <w:tcW w:w="5387" w:type="dxa"/>
            <w:tcBorders>
              <w:top w:val="nil"/>
              <w:bottom w:val="nil"/>
            </w:tcBorders>
          </w:tcPr>
          <w:p w14:paraId="4906224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(四)為強化投資人違約風險控管，依證交所110年9月10日臺證輔字第1100018043號函規定，自110年10月12日起，公司是否對違約投資人實施下列管理措施：</w:t>
            </w:r>
          </w:p>
        </w:tc>
        <w:tc>
          <w:tcPr>
            <w:tcW w:w="2023" w:type="dxa"/>
            <w:vMerge/>
            <w:tcBorders>
              <w:right w:val="single" w:sz="12" w:space="0" w:color="auto"/>
            </w:tcBorders>
          </w:tcPr>
          <w:p w14:paraId="0B5D47C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E3593A" w14:textId="77777777">
        <w:tc>
          <w:tcPr>
            <w:tcW w:w="1384" w:type="dxa"/>
            <w:vMerge/>
            <w:tcBorders>
              <w:left w:val="single" w:sz="12" w:space="0" w:color="auto"/>
            </w:tcBorders>
          </w:tcPr>
          <w:p w14:paraId="06794700" w14:textId="77777777" w:rsidR="003B3105" w:rsidRDefault="003B3105" w:rsidP="001E533B">
            <w:pPr>
              <w:rPr>
                <w:rFonts w:ascii="新細明體" w:eastAsia="新細明體" w:hAnsi="新細明體"/>
              </w:rPr>
            </w:pPr>
          </w:p>
        </w:tc>
        <w:tc>
          <w:tcPr>
            <w:tcW w:w="1276" w:type="dxa"/>
            <w:vMerge/>
          </w:tcPr>
          <w:p w14:paraId="75A57C73" w14:textId="77777777" w:rsidR="003B3105" w:rsidRDefault="003B3105" w:rsidP="001E533B">
            <w:pPr>
              <w:rPr>
                <w:rFonts w:ascii="新細明體" w:eastAsia="新細明體" w:hAnsi="新細明體"/>
              </w:rPr>
            </w:pPr>
          </w:p>
        </w:tc>
        <w:tc>
          <w:tcPr>
            <w:tcW w:w="5386" w:type="dxa"/>
            <w:tcBorders>
              <w:top w:val="nil"/>
              <w:bottom w:val="nil"/>
            </w:tcBorders>
          </w:tcPr>
          <w:p w14:paraId="68A4437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投資人首次發生違約，公司應以文件通知投資人委託買賣證券應履行交割責任，若未履行，違約資訊將揭露於證券商聯合徵信系統之個人負面資料，影響個人日後與公司之業務往來，並告知投資人爾後再次發生違約之相關規範。</w:t>
            </w:r>
          </w:p>
        </w:tc>
        <w:tc>
          <w:tcPr>
            <w:tcW w:w="5387" w:type="dxa"/>
            <w:tcBorders>
              <w:top w:val="nil"/>
              <w:bottom w:val="nil"/>
            </w:tcBorders>
          </w:tcPr>
          <w:p w14:paraId="00BDC1B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投資人首次發生違約，公司應以文件通知投資人委託買賣證券應履行交割責任，若未履行，違約資訊將揭露於證券商聯合徵信系統之個人負面資料，影響個人日後與公司之業務往來，並告知投資人爾後再次發生違約之相關規範。</w:t>
            </w:r>
          </w:p>
        </w:tc>
        <w:tc>
          <w:tcPr>
            <w:tcW w:w="2023" w:type="dxa"/>
            <w:vMerge/>
            <w:tcBorders>
              <w:right w:val="single" w:sz="12" w:space="0" w:color="auto"/>
            </w:tcBorders>
          </w:tcPr>
          <w:p w14:paraId="0ABC6E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960554" w14:textId="77777777">
        <w:tc>
          <w:tcPr>
            <w:tcW w:w="1384" w:type="dxa"/>
            <w:vMerge/>
            <w:tcBorders>
              <w:left w:val="single" w:sz="12" w:space="0" w:color="auto"/>
            </w:tcBorders>
          </w:tcPr>
          <w:p w14:paraId="21E2F12F" w14:textId="77777777" w:rsidR="003B3105" w:rsidRDefault="003B3105" w:rsidP="001E533B">
            <w:pPr>
              <w:rPr>
                <w:rFonts w:ascii="新細明體" w:eastAsia="新細明體" w:hAnsi="新細明體"/>
              </w:rPr>
            </w:pPr>
          </w:p>
        </w:tc>
        <w:tc>
          <w:tcPr>
            <w:tcW w:w="1276" w:type="dxa"/>
            <w:vMerge/>
          </w:tcPr>
          <w:p w14:paraId="1A4B518C" w14:textId="77777777" w:rsidR="003B3105" w:rsidRDefault="003B3105" w:rsidP="001E533B">
            <w:pPr>
              <w:rPr>
                <w:rFonts w:ascii="新細明體" w:eastAsia="新細明體" w:hAnsi="新細明體"/>
              </w:rPr>
            </w:pPr>
          </w:p>
        </w:tc>
        <w:tc>
          <w:tcPr>
            <w:tcW w:w="5386" w:type="dxa"/>
            <w:tcBorders>
              <w:top w:val="nil"/>
              <w:bottom w:val="nil"/>
            </w:tcBorders>
          </w:tcPr>
          <w:p w14:paraId="5684278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2.投資人再次發生違約距前次違約時間尚在 1年內，公司自接獲證交所每日上午</w:t>
            </w:r>
            <w:r>
              <w:rPr>
                <w:rFonts w:ascii="新細明體" w:eastAsia="新細明體" w:hAnsi="新細明體" w:cs="新細明體" w:hint="eastAsia"/>
              </w:rPr>
              <w:lastRenderedPageBreak/>
              <w:t>8點30分之結案公告日起3個月內，受理該投資人首次交易日起連續10個營業日之委託，應預收足額款券，且預收之款券應透過公司交割專戶及證券集中保管事業辦理劃撥入帳及證券圈存，並在委託書上加註。</w:t>
            </w:r>
          </w:p>
        </w:tc>
        <w:tc>
          <w:tcPr>
            <w:tcW w:w="5387" w:type="dxa"/>
            <w:tcBorders>
              <w:top w:val="nil"/>
              <w:bottom w:val="nil"/>
            </w:tcBorders>
          </w:tcPr>
          <w:p w14:paraId="26EE0ED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2.投資人再次發生違約距前次違約時間尚在 1年內，公司自接獲證交所每日上午</w:t>
            </w:r>
            <w:r>
              <w:rPr>
                <w:rFonts w:ascii="新細明體" w:eastAsia="新細明體" w:hAnsi="新細明體" w:cs="新細明體" w:hint="eastAsia"/>
              </w:rPr>
              <w:lastRenderedPageBreak/>
              <w:t>8點30分之結案公告日起3個月內，受理該投資人首次交易日起連續10個營業日之委託，應預收足額款券，且預收之款券應透過公司交割專戶及證券集中保管事業辦理劃撥入帳及證券圈存，並在委託書上加註。</w:t>
            </w:r>
          </w:p>
        </w:tc>
        <w:tc>
          <w:tcPr>
            <w:tcW w:w="2023" w:type="dxa"/>
            <w:vMerge/>
            <w:tcBorders>
              <w:right w:val="single" w:sz="12" w:space="0" w:color="auto"/>
            </w:tcBorders>
          </w:tcPr>
          <w:p w14:paraId="15BBED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FFEF50" w14:textId="77777777">
        <w:tc>
          <w:tcPr>
            <w:tcW w:w="1384" w:type="dxa"/>
            <w:vMerge/>
            <w:tcBorders>
              <w:left w:val="single" w:sz="12" w:space="0" w:color="auto"/>
            </w:tcBorders>
          </w:tcPr>
          <w:p w14:paraId="47575B0E" w14:textId="77777777" w:rsidR="003B3105" w:rsidRDefault="003B3105" w:rsidP="001E533B">
            <w:pPr>
              <w:rPr>
                <w:rFonts w:ascii="新細明體" w:eastAsia="新細明體" w:hAnsi="新細明體"/>
              </w:rPr>
            </w:pPr>
          </w:p>
        </w:tc>
        <w:tc>
          <w:tcPr>
            <w:tcW w:w="1276" w:type="dxa"/>
            <w:vMerge/>
          </w:tcPr>
          <w:p w14:paraId="7D4D055E" w14:textId="77777777" w:rsidR="003B3105" w:rsidRDefault="003B3105" w:rsidP="001E533B">
            <w:pPr>
              <w:rPr>
                <w:rFonts w:ascii="新細明體" w:eastAsia="新細明體" w:hAnsi="新細明體"/>
              </w:rPr>
            </w:pPr>
          </w:p>
        </w:tc>
        <w:tc>
          <w:tcPr>
            <w:tcW w:w="5386" w:type="dxa"/>
            <w:tcBorders>
              <w:top w:val="nil"/>
              <w:bottom w:val="nil"/>
            </w:tcBorders>
          </w:tcPr>
          <w:p w14:paraId="0ED3ECD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(五)公司受理客戶使用應用程式介面(API)服務作業是否依證交所「證券商受理投資人使用應用程式介面(API)服務作業規範」辦理。如提供加值服務是否由客戶自行設定參數與決定買賣之執行。</w:t>
            </w:r>
          </w:p>
        </w:tc>
        <w:tc>
          <w:tcPr>
            <w:tcW w:w="5387" w:type="dxa"/>
            <w:tcBorders>
              <w:top w:val="nil"/>
              <w:bottom w:val="nil"/>
            </w:tcBorders>
          </w:tcPr>
          <w:p w14:paraId="73310FE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(五)公司受理客戶使用應用程式介面(API)服務作業是否依證交所「證券商受理投資人使用應用程式介面(API)服務作業規範」辦理。如提供加值服務是否由客戶自行設定參數與決定買賣之執行。</w:t>
            </w:r>
          </w:p>
        </w:tc>
        <w:tc>
          <w:tcPr>
            <w:tcW w:w="2023" w:type="dxa"/>
            <w:vMerge/>
            <w:tcBorders>
              <w:right w:val="single" w:sz="12" w:space="0" w:color="auto"/>
            </w:tcBorders>
          </w:tcPr>
          <w:p w14:paraId="3C3CD68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429" w:hangingChars="165" w:hanging="429"/>
              <w:rPr>
                <w:rFonts w:ascii="新細明體" w:eastAsia="新細明體" w:hAnsi="新細明體" w:cs="新細明體"/>
              </w:rPr>
            </w:pPr>
            <w:r>
              <w:rPr>
                <w:rFonts w:ascii="新細明體" w:eastAsia="新細明體" w:hAnsi="新細明體" w:cs="新細明體" w:hint="eastAsia"/>
              </w:rPr>
              <w:t>(六)經證交所函知，公司對大量買進停止信用交易及借券交易指數股票型期貨信託基金受益憑證之客戶，應執行加強調查作業，是否依證交所112年5月30日臺證輔字第1120501644號函辦理，並依證交所函知期限函復備查。</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經證交所函知，公司對大量買進停止信用交易及借券交易指數股票型期貨信託基金受益憑證之客戶，應執行加強調查作業，是否依證交所112年5月30日臺證輔字第1120501644號函辦理，並依證交所函知期限函復備查。</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B5050"/>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4620"/>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396</Words>
  <Characters>2261</Characters>
  <Application>Microsoft Office Word</Application>
  <DocSecurity>0</DocSecurity>
  <Lines>18</Lines>
  <Paragraphs>5</Paragraphs>
  <ScaleCrop>false</ScaleCrop>
  <Company>Hewlett-Packard Company</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陳泓志</cp:lastModifiedBy>
  <cp:revision>2</cp:revision>
  <cp:lastPrinted>2004-03-09T19:20:00Z</cp:lastPrinted>
  <dcterms:created xsi:type="dcterms:W3CDTF">2026-03-09T11:59:00Z</dcterms:created>
  <dcterms:modified xsi:type="dcterms:W3CDTF">2026-03-09T11:59:00Z</dcterms:modified>
</cp:coreProperties>
</file>